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79B5" w14:textId="77777777" w:rsidR="000A1F63" w:rsidRDefault="000A1F63" w:rsidP="000A1F63">
      <w:pPr>
        <w:spacing w:after="0"/>
        <w:jc w:val="center"/>
        <w:rPr>
          <w:rStyle w:val="a3"/>
          <w:b w:val="0"/>
          <w:bCs w:val="0"/>
        </w:rPr>
      </w:pPr>
      <w:bookmarkStart w:id="0" w:name="_GoBack"/>
      <w:bookmarkEnd w:id="0"/>
      <w:r w:rsidRPr="000A1F63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>22 октября 2021 15:</w:t>
      </w:r>
      <w:hyperlink r:id="rId4" w:tgtFrame="_blank" w:history="1">
        <w:r w:rsidRPr="000A1F63">
          <w:rPr>
            <w:rStyle w:val="a4"/>
            <w:b/>
            <w:bCs/>
            <w:color w:val="auto"/>
          </w:rPr>
          <w:t>Подведены итоги ежегодной конференции  "День ГЧП"  </w:t>
        </w:r>
      </w:hyperlink>
    </w:p>
    <w:p w14:paraId="2E26C440" w14:textId="4EF770EE" w:rsidR="000A1F63" w:rsidRPr="000A1F63" w:rsidRDefault="000A1F63" w:rsidP="000A1F63">
      <w:pPr>
        <w:spacing w:after="0"/>
        <w:jc w:val="center"/>
        <w:rPr>
          <w:rFonts w:eastAsia="Times New Roman" w:cs="Times New Roman"/>
          <w:b/>
          <w:bCs/>
          <w:caps/>
          <w:sz w:val="30"/>
          <w:szCs w:val="30"/>
          <w:lang w:eastAsia="ru-RU"/>
        </w:rPr>
      </w:pPr>
      <w:r w:rsidRPr="000A1F63">
        <w:rPr>
          <w:rFonts w:eastAsia="Times New Roman" w:cs="Times New Roman"/>
          <w:b/>
          <w:bCs/>
          <w:caps/>
          <w:sz w:val="30"/>
          <w:szCs w:val="30"/>
          <w:lang w:eastAsia="ru-RU"/>
        </w:rPr>
        <w:t>В ПРИМОРЬЕ СОЗДАНЫ ХОРОШИЕ УСЛОВИЯ ДЛЯ</w:t>
      </w:r>
    </w:p>
    <w:p w14:paraId="42546837" w14:textId="5E497337" w:rsidR="000A1F63" w:rsidRPr="000A1F63" w:rsidRDefault="000A1F63" w:rsidP="000A1F63">
      <w:pPr>
        <w:spacing w:after="0"/>
        <w:jc w:val="center"/>
        <w:rPr>
          <w:rFonts w:ascii="inherit" w:eastAsia="Times New Roman" w:hAnsi="inherit" w:cs="Times New Roman"/>
          <w:b/>
          <w:bCs/>
          <w:caps/>
          <w:sz w:val="30"/>
          <w:szCs w:val="30"/>
          <w:lang w:eastAsia="ru-RU"/>
        </w:rPr>
      </w:pPr>
      <w:r w:rsidRPr="000A1F63">
        <w:rPr>
          <w:rFonts w:eastAsia="Times New Roman" w:cs="Times New Roman"/>
          <w:b/>
          <w:bCs/>
          <w:caps/>
          <w:sz w:val="30"/>
          <w:szCs w:val="30"/>
          <w:lang w:eastAsia="ru-RU"/>
        </w:rPr>
        <w:t>РЕАЛИЗАЦИИ ПРОЕКТОВ ГЧП</w:t>
      </w:r>
    </w:p>
    <w:p w14:paraId="3FA7D3FE" w14:textId="77777777" w:rsidR="000A1F63" w:rsidRPr="000A1F63" w:rsidRDefault="000A1F63" w:rsidP="000A1F63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3B2EE6B7" w14:textId="4F7B137F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Перспективы и преимущества механизма государственно-частного партнерства </w:t>
      </w:r>
      <w:r w:rsidRPr="000A1F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обсудили участники второй ежегодной конференции «День ГЧП», которая прошла во Владивостоке накануне, 21 октября. По словам экспертов, принявших участие в конференции, Приморью есть чем заинтересовать потенциальных инвесторов.</w:t>
      </w:r>
    </w:p>
    <w:p w14:paraId="1155C111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Конференция, организованная Инвестиционным агентством Приморского края совместно с Правительством Приморья и деловым объединением «Опора России», собрала более 70 участников. Ими стали представители органов региональной и муниципальной исполнительной власти, предприниматели, реализующие проекты на условиях ГЧП, а также эксперты международного уровня.</w:t>
      </w:r>
    </w:p>
    <w:p w14:paraId="21DC60B3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Программа конференции поделена на два блока. В рамках первого участники ознакомились с лучшими практиками в сфере ГЧП в Приморье. Это, например, проект </w:t>
      </w:r>
      <w:hyperlink r:id="rId5" w:tgtFrame="_blank" w:history="1">
        <w:r w:rsidRPr="000A1F63">
          <w:rPr>
            <w:rFonts w:eastAsia="Times New Roman" w:cs="Times New Roman"/>
            <w:color w:val="000080"/>
            <w:sz w:val="24"/>
            <w:szCs w:val="24"/>
            <w:u w:val="single"/>
            <w:lang w:eastAsia="ru-RU"/>
          </w:rPr>
          <w:t>строительства керлинг-центра</w:t>
        </w:r>
      </w:hyperlink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 во Владивостоке, к возведению которого приступили в начале октября. Второй блок – образовательный. В ходе этой части конференции участникам рассказали о тонкостях составления концессионного соглашения, юридических и финансовых аспектах развития ГЧП-проектов.</w:t>
      </w:r>
    </w:p>
    <w:p w14:paraId="1E767D5C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97748C4" wp14:editId="5B89C82C">
            <wp:simplePos x="0" y="0"/>
            <wp:positionH relativeFrom="margin">
              <wp:posOffset>-355658</wp:posOffset>
            </wp:positionH>
            <wp:positionV relativeFrom="paragraph">
              <wp:posOffset>10968</wp:posOffset>
            </wp:positionV>
            <wp:extent cx="3038475" cy="2024380"/>
            <wp:effectExtent l="0" t="0" r="9525" b="0"/>
            <wp:wrapTight wrapText="bothSides">
              <wp:wrapPolygon edited="0">
                <wp:start x="0" y="0"/>
                <wp:lineTo x="0" y="21343"/>
                <wp:lineTo x="21532" y="21343"/>
                <wp:lineTo x="2153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3ED17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Конференцию можно было посмотреть </w:t>
      </w:r>
      <w:hyperlink r:id="rId7" w:tgtFrame="_blank" w:history="1">
        <w:r w:rsidRPr="000A1F63">
          <w:rPr>
            <w:rFonts w:eastAsia="Times New Roman" w:cs="Times New Roman"/>
            <w:color w:val="000080"/>
            <w:sz w:val="24"/>
            <w:szCs w:val="24"/>
            <w:u w:val="single"/>
            <w:lang w:eastAsia="ru-RU"/>
          </w:rPr>
          <w:t>онлайн</w:t>
        </w:r>
      </w:hyperlink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, кроме того, был организован синхронный перевод на английский язык.</w:t>
      </w:r>
    </w:p>
    <w:p w14:paraId="0B9B6DD1" w14:textId="29DFCD2E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6C510F" wp14:editId="063F32EC">
            <wp:simplePos x="0" y="0"/>
            <wp:positionH relativeFrom="margin">
              <wp:align>right</wp:align>
            </wp:positionH>
            <wp:positionV relativeFrom="paragraph">
              <wp:posOffset>1571683</wp:posOffset>
            </wp:positionV>
            <wp:extent cx="2994516" cy="1994823"/>
            <wp:effectExtent l="0" t="0" r="0" b="5715"/>
            <wp:wrapTight wrapText="bothSides">
              <wp:wrapPolygon edited="0">
                <wp:start x="0" y="0"/>
                <wp:lineTo x="0" y="21456"/>
                <wp:lineTo x="21440" y="21456"/>
                <wp:lineTo x="2144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516" cy="199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Как отметил управляющий партнер международной юридической фирмы </w:t>
      </w:r>
      <w:proofErr w:type="spell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Squire</w:t>
      </w:r>
      <w:proofErr w:type="spell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Patton</w:t>
      </w:r>
      <w:proofErr w:type="spell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Boggs</w:t>
      </w:r>
      <w:proofErr w:type="spell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Москве Александр Долгов, в Приморье сформирована профессиональная </w:t>
      </w:r>
      <w:hyperlink r:id="rId9" w:tgtFrame="_blank" w:history="1">
        <w:r w:rsidRPr="000A1F63">
          <w:rPr>
            <w:rFonts w:eastAsia="Times New Roman" w:cs="Times New Roman"/>
            <w:color w:val="000080"/>
            <w:sz w:val="24"/>
            <w:szCs w:val="24"/>
            <w:u w:val="single"/>
            <w:lang w:eastAsia="ru-RU"/>
          </w:rPr>
          <w:t>команда</w:t>
        </w:r>
      </w:hyperlink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которая может готовить </w:t>
      </w:r>
      <w:proofErr w:type="spell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готовить</w:t>
      </w:r>
      <w:proofErr w:type="spell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сопровождать инвестиционные проекты, эффективно общаться с потенциальными инвесторами и консультантами.</w:t>
      </w:r>
    </w:p>
    <w:p w14:paraId="64D091F6" w14:textId="00F74A08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«Мы видим, что в регионе сформирован целый пул проектов, поэтому инвесторам, в том числе нашим клиентам, этот регион очень интересен. Отрадно, что здесь проводится такое мероприятие, которое позволяет обобщить существующий опыт», – рассказал он.</w:t>
      </w:r>
    </w:p>
    <w:p w14:paraId="307C7C8F" w14:textId="4CB894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32C34CE5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Напомним, что в настоящее время </w:t>
      </w:r>
      <w:proofErr w:type="spell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Инвестагентство</w:t>
      </w:r>
      <w:proofErr w:type="spell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Приморья готовит к запуску четыре публичные концессионные инициативы, все они были рассмотрены на последнем заседании </w:t>
      </w:r>
      <w:hyperlink r:id="rId10" w:tgtFrame="_blank" w:history="1">
        <w:r w:rsidRPr="000A1F63">
          <w:rPr>
            <w:rFonts w:eastAsia="Times New Roman" w:cs="Times New Roman"/>
            <w:color w:val="000080"/>
            <w:sz w:val="24"/>
            <w:szCs w:val="24"/>
            <w:u w:val="single"/>
            <w:lang w:eastAsia="ru-RU"/>
          </w:rPr>
          <w:t>Инвестиционного совета</w:t>
        </w:r>
      </w:hyperlink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 и получили одобрение Губернатора Олега Кожемяко.</w:t>
      </w:r>
    </w:p>
    <w:p w14:paraId="0969C9F5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Так, в поселке </w:t>
      </w:r>
      <w:proofErr w:type="spell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Липовцы</w:t>
      </w:r>
      <w:proofErr w:type="spell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появится центр сортировки и обработки твердых коммунальных отходов. Он будет действовать на нужды Октябрьского и Пограничного округов. Производственная мощность предприятия составит до 15 тысяч тонн в год.</w:t>
      </w:r>
    </w:p>
    <w:p w14:paraId="3A756A89" w14:textId="3CD4444A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CB985A9" wp14:editId="19F6614A">
            <wp:simplePos x="0" y="0"/>
            <wp:positionH relativeFrom="column">
              <wp:posOffset>-13854</wp:posOffset>
            </wp:positionH>
            <wp:positionV relativeFrom="paragraph">
              <wp:posOffset>19743</wp:posOffset>
            </wp:positionV>
            <wp:extent cx="2626360" cy="1749425"/>
            <wp:effectExtent l="0" t="0" r="2540" b="3175"/>
            <wp:wrapTight wrapText="bothSides">
              <wp:wrapPolygon edited="0">
                <wp:start x="0" y="0"/>
                <wp:lineTo x="0" y="21404"/>
                <wp:lineTo x="21464" y="21404"/>
                <wp:lineTo x="2146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Центр реабилитации и </w:t>
      </w:r>
      <w:proofErr w:type="spell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инвалидов, который расположится во Владивостоке, будет оказывать помощь 2,3 тысячи пациентов в год. Единовременно там смогут проходить процедуры до 100 человек стационарно, до 35 – полустационарно.</w:t>
      </w:r>
    </w:p>
    <w:p w14:paraId="4584DBE4" w14:textId="64ED269E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</w:p>
    <w:p w14:paraId="14F496AB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Еще два проекта направлены на развитие спортивно-рекреационной инфраструктуры. Один из них – база «Солнечная», расположенная в районе бухты Лазурная. Там появятся три спальных корпуса, спортзал, будет оборудован тренажерный зал, реконструирована столовая-гостиница. В Славянке намерены обустроить территорию пляжа «Маньчжурка» – предлагается возвести оборудованные зоны отдыха, детские и спортивные площадки.</w:t>
      </w:r>
    </w:p>
    <w:p w14:paraId="0644D3A0" w14:textId="77777777" w:rsidR="000A1F63" w:rsidRPr="000A1F63" w:rsidRDefault="000A1F63" w:rsidP="000A1F63">
      <w:pPr>
        <w:spacing w:after="0" w:line="360" w:lineRule="auto"/>
        <w:ind w:firstLine="567"/>
        <w:jc w:val="both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«Если год назад мы говорили только о концессиях в области жилищно-коммунального хозяйства, то сейчас вышли на новый уровень – у нас есть концессии в социальной и реакционной сферах. </w:t>
      </w:r>
      <w:proofErr w:type="gramStart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>Уверена</w:t>
      </w:r>
      <w:proofErr w:type="gramEnd"/>
      <w:r w:rsidRPr="000A1F6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что реализация подобных проектов будет выгодна и региону, и инвесторам, причем в качестве последних могут выступать представители не только крупного бизнеса, но и малого и среднего. А это значит, что у бизнеса есть желание созидать на территории Приморья, а Правительство региона обеспечит необходимые меры поддержки и сопровождение проектов», – уточнила министр экономического развития Приморья Наталья Набойченко.</w:t>
      </w:r>
    </w:p>
    <w:p w14:paraId="5A6584CB" w14:textId="77777777" w:rsidR="00F12C76" w:rsidRPr="000A1F63" w:rsidRDefault="00F12C76" w:rsidP="000A1F63">
      <w:pPr>
        <w:spacing w:after="0" w:line="360" w:lineRule="auto"/>
        <w:ind w:firstLine="709"/>
        <w:jc w:val="both"/>
        <w:rPr>
          <w:rFonts w:cs="Times New Roman"/>
          <w:sz w:val="36"/>
          <w:szCs w:val="28"/>
        </w:rPr>
      </w:pPr>
    </w:p>
    <w:sectPr w:rsidR="00F12C76" w:rsidRPr="000A1F63" w:rsidSect="000A1F63">
      <w:pgSz w:w="11906" w:h="16838" w:code="9"/>
      <w:pgMar w:top="851" w:right="849" w:bottom="567" w:left="1418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63"/>
    <w:rsid w:val="000A1F6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F9FA"/>
  <w15:chartTrackingRefBased/>
  <w15:docId w15:val="{EED47E84-BC86-4BC3-92F3-A6E417A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F63"/>
    <w:rPr>
      <w:b/>
      <w:bCs/>
    </w:rPr>
  </w:style>
  <w:style w:type="character" w:styleId="a4">
    <w:name w:val="Hyperlink"/>
    <w:basedOn w:val="a0"/>
    <w:uiPriority w:val="99"/>
    <w:semiHidden/>
    <w:unhideWhenUsed/>
    <w:rsid w:val="000A1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8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9tvqLE2wJ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primorsky.ru/news/243835/?sphrase_id=5978775" TargetMode="External"/><Relationship Id="rId10" Type="http://schemas.openxmlformats.org/officeDocument/2006/relationships/hyperlink" Target="https://primorsky.ru/news/241780/" TargetMode="External"/><Relationship Id="rId4" Type="http://schemas.openxmlformats.org/officeDocument/2006/relationships/hyperlink" Target="https://primorsky.us19.list-manage.com/track/click?u=ed18b8086d418dd4df8ebc9bd&amp;id=18b51d846a&amp;e=aec9661a02" TargetMode="External"/><Relationship Id="rId9" Type="http://schemas.openxmlformats.org/officeDocument/2006/relationships/hyperlink" Target="https://invest.primorsky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2021-10-27T02:39:00Z</dcterms:created>
  <dcterms:modified xsi:type="dcterms:W3CDTF">2021-10-27T02:47:00Z</dcterms:modified>
</cp:coreProperties>
</file>